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724239">
        <w:rPr>
          <w:sz w:val="24"/>
          <w:szCs w:val="24"/>
        </w:rPr>
        <w:t>119</w:t>
      </w:r>
      <w:r w:rsidR="00BB77C2">
        <w:rPr>
          <w:sz w:val="24"/>
          <w:szCs w:val="24"/>
        </w:rPr>
        <w:t xml:space="preserve"> - </w:t>
      </w:r>
      <w:r w:rsidR="00337964">
        <w:rPr>
          <w:sz w:val="24"/>
          <w:szCs w:val="24"/>
        </w:rPr>
        <w:t>15</w:t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4FA1">
        <w:rPr>
          <w:noProof/>
        </w:rPr>
        <w:drawing>
          <wp:inline distT="0" distB="0" distL="0" distR="0" wp14:anchorId="1342847D" wp14:editId="79E17D55">
            <wp:extent cx="1054735" cy="8655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22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r w:rsidR="00BB77C2">
        <w:rPr>
          <w:sz w:val="24"/>
          <w:szCs w:val="24"/>
        </w:rPr>
        <w:tab/>
        <w:t>Ingunn O. Bjerkelo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3139">
        <w:rPr>
          <w:sz w:val="24"/>
          <w:szCs w:val="24"/>
        </w:rPr>
        <w:tab/>
      </w:r>
      <w:r w:rsidR="00BB77C2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6C3139" w:rsidRPr="004C093A" w:rsidRDefault="004C093A" w:rsidP="006C3139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3139">
        <w:rPr>
          <w:sz w:val="24"/>
          <w:szCs w:val="24"/>
        </w:rPr>
        <w:tab/>
      </w:r>
      <w:r w:rsidR="00BB77C2">
        <w:rPr>
          <w:sz w:val="24"/>
          <w:szCs w:val="24"/>
        </w:rPr>
        <w:tab/>
      </w:r>
      <w:r w:rsidR="00F13D8C">
        <w:rPr>
          <w:sz w:val="24"/>
          <w:szCs w:val="24"/>
        </w:rPr>
        <w:t>1</w:t>
      </w:r>
      <w:r w:rsidR="00724239">
        <w:rPr>
          <w:sz w:val="24"/>
          <w:szCs w:val="24"/>
        </w:rPr>
        <w:t>3. august</w:t>
      </w:r>
      <w:r w:rsidR="00337964">
        <w:rPr>
          <w:sz w:val="24"/>
          <w:szCs w:val="24"/>
        </w:rPr>
        <w:t xml:space="preserve"> 2015</w:t>
      </w:r>
    </w:p>
    <w:p w:rsidR="004C093A" w:rsidRDefault="004C093A">
      <w:pPr>
        <w:rPr>
          <w:sz w:val="24"/>
          <w:szCs w:val="24"/>
        </w:rPr>
      </w:pPr>
    </w:p>
    <w:p w:rsidR="004E0F9A" w:rsidRDefault="004E0F9A">
      <w:pPr>
        <w:rPr>
          <w:sz w:val="24"/>
          <w:szCs w:val="24"/>
        </w:rPr>
      </w:pPr>
    </w:p>
    <w:p w:rsidR="00F37E7E" w:rsidRPr="00B14117" w:rsidRDefault="00F37E7E" w:rsidP="00F37E7E">
      <w:pPr>
        <w:rPr>
          <w:b/>
          <w:sz w:val="32"/>
          <w:szCs w:val="32"/>
          <w:u w:val="single"/>
        </w:rPr>
      </w:pPr>
      <w:r w:rsidRPr="00B14117">
        <w:rPr>
          <w:b/>
          <w:sz w:val="32"/>
          <w:szCs w:val="32"/>
          <w:u w:val="single"/>
        </w:rPr>
        <w:t>S</w:t>
      </w:r>
      <w:r w:rsidR="00E305B1">
        <w:rPr>
          <w:b/>
          <w:sz w:val="32"/>
          <w:szCs w:val="32"/>
          <w:u w:val="single"/>
        </w:rPr>
        <w:t xml:space="preserve">TATUS BYGGEPROSJEKTER </w:t>
      </w:r>
      <w:r w:rsidR="00724239">
        <w:rPr>
          <w:b/>
          <w:sz w:val="32"/>
          <w:szCs w:val="32"/>
          <w:u w:val="single"/>
        </w:rPr>
        <w:t>juli</w:t>
      </w:r>
      <w:r w:rsidR="00E305B1">
        <w:rPr>
          <w:b/>
          <w:sz w:val="32"/>
          <w:szCs w:val="32"/>
          <w:u w:val="single"/>
        </w:rPr>
        <w:t xml:space="preserve"> </w:t>
      </w:r>
      <w:r w:rsidR="00924FA1">
        <w:rPr>
          <w:b/>
          <w:sz w:val="32"/>
          <w:szCs w:val="32"/>
          <w:u w:val="single"/>
        </w:rPr>
        <w:t>2015</w:t>
      </w:r>
      <w:r w:rsidR="00E83F17">
        <w:rPr>
          <w:b/>
          <w:sz w:val="32"/>
          <w:szCs w:val="32"/>
          <w:u w:val="single"/>
        </w:rPr>
        <w:t>:</w:t>
      </w:r>
      <w:r w:rsidRPr="00B14117">
        <w:rPr>
          <w:b/>
          <w:sz w:val="32"/>
          <w:szCs w:val="32"/>
          <w:u w:val="single"/>
        </w:rPr>
        <w:t xml:space="preserve"> </w:t>
      </w:r>
    </w:p>
    <w:p w:rsidR="00F37E7E" w:rsidRDefault="00F37E7E" w:rsidP="00F37E7E"/>
    <w:p w:rsidR="00F37E7E" w:rsidRPr="00B14117" w:rsidRDefault="00F37E7E" w:rsidP="00F37E7E">
      <w:pPr>
        <w:spacing w:after="0" w:line="240" w:lineRule="auto"/>
        <w:rPr>
          <w:sz w:val="28"/>
          <w:szCs w:val="28"/>
          <w:u w:val="single"/>
        </w:rPr>
      </w:pPr>
      <w:r w:rsidRPr="00B14117">
        <w:rPr>
          <w:b/>
          <w:sz w:val="28"/>
          <w:szCs w:val="28"/>
          <w:u w:val="single"/>
        </w:rPr>
        <w:t>Saken gjelder</w:t>
      </w:r>
      <w:r>
        <w:rPr>
          <w:b/>
          <w:sz w:val="28"/>
          <w:szCs w:val="28"/>
          <w:u w:val="single"/>
        </w:rPr>
        <w:t>:</w:t>
      </w:r>
    </w:p>
    <w:p w:rsidR="00F37E7E" w:rsidRDefault="00F37E7E" w:rsidP="00F37E7E"/>
    <w:p w:rsidR="00F37E7E" w:rsidRDefault="00F37E7E" w:rsidP="00F37E7E">
      <w:r>
        <w:t>I denne saken legges frem status på byggeprosjekter vedtatt gjennom økonomiplan og oppdrag gitt av rådmannen.</w:t>
      </w:r>
    </w:p>
    <w:p w:rsidR="00F37E7E" w:rsidRDefault="00F37E7E" w:rsidP="00F37E7E"/>
    <w:p w:rsidR="00F37E7E" w:rsidRDefault="00F37E7E" w:rsidP="00F37E7E">
      <w:r>
        <w:t xml:space="preserve">Oversikt over prosjekt som håndteres av prosjektavdelingen følger som eget vedlegg (Vedlegg 1). </w:t>
      </w:r>
    </w:p>
    <w:p w:rsidR="00F37E7E" w:rsidRDefault="00F37E7E" w:rsidP="00F37E7E">
      <w:pPr>
        <w:rPr>
          <w:b/>
        </w:rPr>
      </w:pPr>
    </w:p>
    <w:p w:rsidR="00F37E7E" w:rsidRPr="00B14117" w:rsidRDefault="00F37E7E" w:rsidP="00F37E7E">
      <w:pPr>
        <w:rPr>
          <w:b/>
          <w:sz w:val="28"/>
          <w:szCs w:val="28"/>
          <w:u w:val="single"/>
        </w:rPr>
      </w:pPr>
      <w:r w:rsidRPr="00B14117">
        <w:rPr>
          <w:b/>
          <w:sz w:val="28"/>
          <w:szCs w:val="28"/>
          <w:u w:val="single"/>
        </w:rPr>
        <w:t>Forklaringer:</w:t>
      </w:r>
    </w:p>
    <w:p w:rsidR="00F37E7E" w:rsidRDefault="00F37E7E" w:rsidP="00F37E7E">
      <w:r>
        <w:lastRenderedPageBreak/>
        <w:t>Prosjektoversikten viser at prosjektene har ulik status. De er delt inn i fire faser:</w:t>
      </w:r>
    </w:p>
    <w:p w:rsidR="00F37E7E" w:rsidRDefault="00F37E7E" w:rsidP="00F37E7E">
      <w:pPr>
        <w:pStyle w:val="Listeavsnitt"/>
        <w:numPr>
          <w:ilvl w:val="0"/>
          <w:numId w:val="4"/>
        </w:numPr>
        <w:spacing w:after="0" w:line="240" w:lineRule="auto"/>
      </w:pPr>
      <w:r>
        <w:t>ØP, dvs</w:t>
      </w:r>
      <w:r w:rsidR="00D123CD">
        <w:t>.</w:t>
      </w:r>
      <w:r>
        <w:t xml:space="preserve"> de er ikke påstartet</w:t>
      </w:r>
    </w:p>
    <w:p w:rsidR="00F37E7E" w:rsidRDefault="00F37E7E" w:rsidP="00F37E7E">
      <w:pPr>
        <w:pStyle w:val="Listeavsnitt"/>
        <w:numPr>
          <w:ilvl w:val="0"/>
          <w:numId w:val="4"/>
        </w:numPr>
        <w:spacing w:after="0" w:line="240" w:lineRule="auto"/>
      </w:pPr>
      <w:r>
        <w:t>Prosjektering</w:t>
      </w:r>
      <w:r w:rsidR="00433FA9">
        <w:t>, utredning tomt eller regulering</w:t>
      </w:r>
      <w:r>
        <w:t>, dvs</w:t>
      </w:r>
      <w:r w:rsidR="00D123CD">
        <w:t>.</w:t>
      </w:r>
      <w:r>
        <w:t xml:space="preserve"> de er under ulike stadier frem til bygging</w:t>
      </w:r>
    </w:p>
    <w:p w:rsidR="00F37E7E" w:rsidRDefault="00F37E7E" w:rsidP="00F37E7E">
      <w:pPr>
        <w:pStyle w:val="Listeavsnitt"/>
        <w:numPr>
          <w:ilvl w:val="0"/>
          <w:numId w:val="4"/>
        </w:numPr>
        <w:spacing w:after="0" w:line="240" w:lineRule="auto"/>
      </w:pPr>
      <w:r>
        <w:t>Bygg</w:t>
      </w:r>
      <w:r w:rsidR="00724239">
        <w:t>efase</w:t>
      </w:r>
      <w:r>
        <w:t>; entreprenør er i gang med bygging</w:t>
      </w:r>
    </w:p>
    <w:p w:rsidR="00F37E7E" w:rsidRDefault="00F37E7E" w:rsidP="00F37E7E">
      <w:pPr>
        <w:pStyle w:val="Listeavsnitt"/>
        <w:numPr>
          <w:ilvl w:val="0"/>
          <w:numId w:val="4"/>
        </w:numPr>
        <w:spacing w:after="0" w:line="240" w:lineRule="auto"/>
      </w:pPr>
      <w:r>
        <w:t>Garantifase, dvs. etter overtakelse før sluttbehandling av byggeregnskap</w:t>
      </w:r>
    </w:p>
    <w:p w:rsidR="00F37E7E" w:rsidRDefault="00F37E7E" w:rsidP="00F37E7E"/>
    <w:p w:rsidR="00F37E7E" w:rsidRDefault="00F37E7E" w:rsidP="00F37E7E">
      <w:r>
        <w:t>Avvik i forhold til fremdrift og/eller økonomi er markert med gult eller rødt. De som er markert med gult har usikkerhet knyttet til seg, mens de som er røde er identifiserte avvik ih</w:t>
      </w:r>
      <w:r w:rsidR="00D123CD">
        <w:t>t.</w:t>
      </w:r>
      <w:r>
        <w:t xml:space="preserve"> plan.</w:t>
      </w:r>
    </w:p>
    <w:p w:rsidR="00724239" w:rsidRDefault="00724239" w:rsidP="00F37E7E">
      <w:pPr>
        <w:rPr>
          <w:b/>
          <w:sz w:val="28"/>
          <w:szCs w:val="28"/>
          <w:u w:val="single"/>
        </w:rPr>
      </w:pPr>
    </w:p>
    <w:p w:rsidR="00724239" w:rsidRDefault="00724239" w:rsidP="00F37E7E">
      <w:pPr>
        <w:rPr>
          <w:b/>
          <w:sz w:val="28"/>
          <w:szCs w:val="28"/>
          <w:u w:val="single"/>
        </w:rPr>
      </w:pPr>
    </w:p>
    <w:p w:rsidR="00831FB7" w:rsidRDefault="00831FB7" w:rsidP="00F37E7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Generelt:</w:t>
      </w:r>
    </w:p>
    <w:p w:rsidR="00724239" w:rsidRDefault="00724239" w:rsidP="007E13DA">
      <w:r>
        <w:t>Det legges fram et byggeregnskap, 4 tomannsboliger Rossåsen i egen sak.</w:t>
      </w:r>
    </w:p>
    <w:p w:rsidR="007A4E37" w:rsidRDefault="007A4E37" w:rsidP="007E13DA">
      <w:r>
        <w:t>Status i prosjekt ny hovedbrannstasjon med legevakt, øyeblikkelig hjelp og ambulansesentral og prosjekt nytt rådhus for Sandnes legges fram i egne saker</w:t>
      </w:r>
      <w:r w:rsidR="00724239">
        <w:t xml:space="preserve"> der status på framdrift og økonomi omtales</w:t>
      </w:r>
      <w:r>
        <w:t xml:space="preserve">. </w:t>
      </w:r>
    </w:p>
    <w:p w:rsidR="00F13D8C" w:rsidRDefault="00724239" w:rsidP="00F37E7E">
      <w:r>
        <w:t>En har i flere prosjekt der det er stilt krav om detaljregulering hatt utfordringer knyttet til framdrift av reguleringsarbeidene. En ser behov for tydeligere avklaring av kompetansebehov, rolleavklaring mellom Sandnes kom</w:t>
      </w:r>
      <w:r>
        <w:lastRenderedPageBreak/>
        <w:t xml:space="preserve">munes forvaltningsmyndighet og Sandnes eiendomsselskap KF som utbygger. I tillegg vil en se nærmere på behov for å inngå rammeavtale på reguleringsarkitekttjenester i løpet av høsten. </w:t>
      </w:r>
    </w:p>
    <w:p w:rsidR="00A17277" w:rsidRDefault="00A758D0" w:rsidP="00F37E7E">
      <w:r>
        <w:t xml:space="preserve">Siden forrige rapportering har det vært gjennomført ferieavvikling i de fleste prosjekter og dermed har det vært liten aktivitet.  </w:t>
      </w:r>
    </w:p>
    <w:p w:rsidR="00F37E7E" w:rsidRDefault="00F37E7E" w:rsidP="00F37E7E">
      <w:pPr>
        <w:rPr>
          <w:b/>
          <w:sz w:val="28"/>
          <w:szCs w:val="28"/>
          <w:u w:val="single"/>
        </w:rPr>
      </w:pPr>
      <w:r w:rsidRPr="00B14117">
        <w:rPr>
          <w:b/>
          <w:sz w:val="28"/>
          <w:szCs w:val="28"/>
          <w:u w:val="single"/>
        </w:rPr>
        <w:t xml:space="preserve">Status pr. </w:t>
      </w:r>
      <w:r w:rsidR="00724239">
        <w:rPr>
          <w:b/>
          <w:sz w:val="28"/>
          <w:szCs w:val="28"/>
          <w:u w:val="single"/>
        </w:rPr>
        <w:t>juli</w:t>
      </w:r>
      <w:r w:rsidR="00023045">
        <w:rPr>
          <w:b/>
          <w:sz w:val="28"/>
          <w:szCs w:val="28"/>
          <w:u w:val="single"/>
        </w:rPr>
        <w:t xml:space="preserve"> 2015</w:t>
      </w:r>
      <w:r w:rsidRPr="00B14117">
        <w:rPr>
          <w:b/>
          <w:sz w:val="28"/>
          <w:szCs w:val="28"/>
          <w:u w:val="single"/>
        </w:rPr>
        <w:t>:</w:t>
      </w:r>
    </w:p>
    <w:p w:rsidR="00F37E7E" w:rsidRDefault="00F37E7E" w:rsidP="00F37E7E">
      <w:r>
        <w:t>Vedr</w:t>
      </w:r>
      <w:r w:rsidR="00724239">
        <w:t>ørende</w:t>
      </w:r>
      <w:r>
        <w:t xml:space="preserve"> prosjekter som er i rute mht</w:t>
      </w:r>
      <w:r w:rsidR="00D123CD">
        <w:t>.</w:t>
      </w:r>
      <w:r w:rsidR="00C15BE2">
        <w:t xml:space="preserve"> fremdrift, innhold og </w:t>
      </w:r>
      <w:r>
        <w:t>økonomi, se vedlagte oversikt hvor disse er markert grønt</w:t>
      </w:r>
      <w:r w:rsidR="00C15BE2">
        <w:t>. Prosjekter som det er rapportert avvik tidligere vil ikke bli omtalt under hvis det ikke foreligger informasjon som</w:t>
      </w:r>
      <w:r w:rsidR="00A17277">
        <w:t xml:space="preserve"> </w:t>
      </w:r>
      <w:r w:rsidR="00C15BE2">
        <w:t>en anser som vesentlig å legge fram for styret.</w:t>
      </w:r>
    </w:p>
    <w:p w:rsidR="00F37E7E" w:rsidRDefault="00C15BE2" w:rsidP="00F37E7E">
      <w:r>
        <w:t>P</w:t>
      </w:r>
      <w:r w:rsidR="00F37E7E">
        <w:t>rosjekter omtales spesielt på bakgrunn av avvik</w:t>
      </w:r>
      <w:r>
        <w:t xml:space="preserve"> som er registrert siden forrige rapportering</w:t>
      </w:r>
      <w:r w:rsidR="00F37E7E">
        <w:t>:</w:t>
      </w:r>
    </w:p>
    <w:p w:rsidR="00A758D0" w:rsidRDefault="00A758D0" w:rsidP="00F37E7E">
      <w:r>
        <w:t xml:space="preserve">Prosjekt 35007- </w:t>
      </w:r>
      <w:r w:rsidRPr="00A758D0">
        <w:rPr>
          <w:b/>
        </w:rPr>
        <w:t>Sørbø 2, ny barnehage med 5 avd</w:t>
      </w:r>
      <w:r>
        <w:t>. – overtakelsesforretning avholdt i juli 2015, entreprenør har fått frist på utbedringer av feil og mangler til 13. august. Barnehagen tas i bruk august 2015.</w:t>
      </w:r>
    </w:p>
    <w:p w:rsidR="00A758D0" w:rsidRDefault="00A758D0" w:rsidP="00F37E7E">
      <w:r>
        <w:t xml:space="preserve">Prosjekt 35015 – </w:t>
      </w:r>
      <w:r w:rsidRPr="00A758D0">
        <w:rPr>
          <w:b/>
        </w:rPr>
        <w:t>Barnehage i gamle kulturskolenbygget med 6-7 grupper</w:t>
      </w:r>
      <w:r>
        <w:t xml:space="preserve"> – anbudskonkurranse pågår, anbudsfrist satt til 24. august.</w:t>
      </w:r>
    </w:p>
    <w:p w:rsidR="00A758D0" w:rsidRPr="00B720F8" w:rsidRDefault="00A758D0" w:rsidP="00A758D0">
      <w:r>
        <w:t xml:space="preserve">Prosjekt 60001- </w:t>
      </w:r>
      <w:r w:rsidRPr="00A758D0">
        <w:rPr>
          <w:b/>
        </w:rPr>
        <w:t>Bogafjellhallen</w:t>
      </w:r>
      <w:r>
        <w:t xml:space="preserve"> – ferdigstilt og overtatt. Offisiell åpning/overtagelse 20. august. </w:t>
      </w:r>
    </w:p>
    <w:p w:rsidR="00832BA1" w:rsidRDefault="00832BA1" w:rsidP="00F37E7E">
      <w:r>
        <w:lastRenderedPageBreak/>
        <w:t xml:space="preserve">Prosjekt 60003 – </w:t>
      </w:r>
      <w:r w:rsidRPr="00832BA1">
        <w:rPr>
          <w:b/>
        </w:rPr>
        <w:t>Giskehallen 2</w:t>
      </w:r>
      <w:r>
        <w:t xml:space="preserve"> – I dette prosjektet mottok en 66 tilbud fordelt på 11 delentrepriser. I delentreprise for elektrofag mottok en 2 klager. Klagene er behandlet uten at dette endret innstilling av tilbydere. 10 av 11 kontraktsmøter er avhold, det siste kontraktsmøte avholdes uke 33. Klagebehandling og krevende evalueringsarbeid i konkurransen har medført en forsinkelse i oppstart av prosjektet på ca. 3 uker.</w:t>
      </w:r>
    </w:p>
    <w:p w:rsidR="006A1463" w:rsidRDefault="006A1463" w:rsidP="00F37E7E">
      <w:r>
        <w:t xml:space="preserve">Prosjekt 60005- </w:t>
      </w:r>
      <w:r>
        <w:rPr>
          <w:b/>
        </w:rPr>
        <w:t>Riskahallen –</w:t>
      </w:r>
      <w:r w:rsidR="00724239">
        <w:t>Oppstart av prosjektet er forsinket. Det er engasjert prosjektleder for prosjektet og det kalles inn til oppstartsmøte med brukere av bygget i løpet av august.</w:t>
      </w:r>
    </w:p>
    <w:p w:rsidR="00B720F8" w:rsidRDefault="00B720F8" w:rsidP="00F37E7E">
      <w:r>
        <w:t xml:space="preserve">Prosjekt  4413899- </w:t>
      </w:r>
      <w:r>
        <w:rPr>
          <w:b/>
        </w:rPr>
        <w:t xml:space="preserve">Sandnes helsesenter – </w:t>
      </w:r>
      <w:r>
        <w:t xml:space="preserve">usikkerhet knyttet til kostnader. Bygget er overtatt og det pågår forhandlinger vedrørende sluttoppgjør i prosjektet. </w:t>
      </w:r>
      <w:r w:rsidR="00832BA1">
        <w:t xml:space="preserve">Prosjektledelsen er har i </w:t>
      </w:r>
      <w:r w:rsidR="006D0D33">
        <w:t>månedsskiftet</w:t>
      </w:r>
      <w:r w:rsidR="00832BA1">
        <w:t xml:space="preserve"> juli/august bedt om møte med elektroentreprenør  for å gjennomgå sluttoppgjørskravene.</w:t>
      </w:r>
    </w:p>
    <w:p w:rsidR="00F37E7E" w:rsidRDefault="00F37E7E" w:rsidP="00F37E7E"/>
    <w:p w:rsidR="00F37E7E" w:rsidRPr="00156569" w:rsidRDefault="00F37E7E" w:rsidP="00F37E7E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F37E7E" w:rsidRDefault="00F37E7E" w:rsidP="006D0D33">
      <w:pPr>
        <w:pStyle w:val="Listeavsnitt"/>
        <w:numPr>
          <w:ilvl w:val="0"/>
          <w:numId w:val="8"/>
        </w:numPr>
      </w:pPr>
      <w:r>
        <w:t>Saken tas til orientering</w:t>
      </w:r>
    </w:p>
    <w:p w:rsidR="00F37E7E" w:rsidRDefault="00F37E7E" w:rsidP="00F37E7E"/>
    <w:p w:rsidR="00F37E7E" w:rsidRPr="006908BF" w:rsidRDefault="00F37E7E" w:rsidP="00F37E7E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B720F8">
        <w:rPr>
          <w:rFonts w:ascii="Times New Roman" w:hAnsi="Times New Roman" w:cs="Times New Roman"/>
          <w:sz w:val="24"/>
          <w:szCs w:val="24"/>
        </w:rPr>
        <w:t>13.</w:t>
      </w:r>
      <w:r w:rsidR="006D0D33">
        <w:rPr>
          <w:rFonts w:ascii="Times New Roman" w:hAnsi="Times New Roman" w:cs="Times New Roman"/>
          <w:sz w:val="24"/>
          <w:szCs w:val="24"/>
        </w:rPr>
        <w:t>08.</w:t>
      </w:r>
      <w:r w:rsidR="00B720F8">
        <w:rPr>
          <w:rFonts w:ascii="Times New Roman" w:hAnsi="Times New Roman" w:cs="Times New Roman"/>
          <w:sz w:val="24"/>
          <w:szCs w:val="24"/>
        </w:rPr>
        <w:t xml:space="preserve">2015 </w:t>
      </w:r>
    </w:p>
    <w:p w:rsidR="00F37E7E" w:rsidRDefault="00F37E7E" w:rsidP="00F37E7E">
      <w:pPr>
        <w:rPr>
          <w:rFonts w:ascii="Times New Roman" w:hAnsi="Times New Roman" w:cs="Times New Roman"/>
          <w:sz w:val="24"/>
          <w:szCs w:val="24"/>
        </w:rPr>
      </w:pPr>
    </w:p>
    <w:p w:rsidR="00F37E7E" w:rsidRPr="006908BF" w:rsidRDefault="00F37E7E" w:rsidP="00F37E7E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F37E7E" w:rsidRPr="006908BF" w:rsidRDefault="00F37E7E" w:rsidP="00F37E7E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dag</w:t>
      </w:r>
      <w:bookmarkStart w:id="0" w:name="_GoBack"/>
      <w:bookmarkEnd w:id="0"/>
      <w:r w:rsidRPr="006908BF">
        <w:rPr>
          <w:rFonts w:ascii="Times New Roman" w:hAnsi="Times New Roman" w:cs="Times New Roman"/>
          <w:sz w:val="24"/>
          <w:szCs w:val="24"/>
        </w:rPr>
        <w:t>lig leder</w:t>
      </w:r>
      <w:r w:rsidR="00724239">
        <w:rPr>
          <w:rFonts w:ascii="Times New Roman" w:hAnsi="Times New Roman" w:cs="Times New Roman"/>
          <w:sz w:val="24"/>
          <w:szCs w:val="24"/>
        </w:rPr>
        <w:t xml:space="preserve"> Sandnes eiendomsselskap KF </w:t>
      </w:r>
    </w:p>
    <w:p w:rsidR="00F37E7E" w:rsidRDefault="00F37E7E" w:rsidP="00F37E7E">
      <w:pPr>
        <w:rPr>
          <w:rFonts w:ascii="Times New Roman" w:hAnsi="Times New Roman" w:cs="Times New Roman"/>
          <w:sz w:val="28"/>
          <w:szCs w:val="28"/>
        </w:rPr>
      </w:pPr>
    </w:p>
    <w:p w:rsidR="00F37E7E" w:rsidRPr="006908BF" w:rsidRDefault="00F37E7E" w:rsidP="00F37E7E">
      <w:pPr>
        <w:rPr>
          <w:rFonts w:ascii="Times New Roman" w:hAnsi="Times New Roman" w:cs="Times New Roman"/>
          <w:sz w:val="28"/>
          <w:szCs w:val="28"/>
        </w:rPr>
      </w:pPr>
    </w:p>
    <w:p w:rsidR="00F37E7E" w:rsidRPr="00B14117" w:rsidRDefault="00F37E7E" w:rsidP="00F37E7E">
      <w:pPr>
        <w:rPr>
          <w:b/>
          <w:sz w:val="28"/>
          <w:szCs w:val="28"/>
          <w:u w:val="single"/>
        </w:rPr>
      </w:pPr>
      <w:r w:rsidRPr="00B14117">
        <w:rPr>
          <w:b/>
          <w:sz w:val="28"/>
          <w:szCs w:val="28"/>
          <w:u w:val="single"/>
        </w:rPr>
        <w:t xml:space="preserve">Vedlegg:  </w:t>
      </w:r>
    </w:p>
    <w:p w:rsidR="00F37E7E" w:rsidRDefault="00F37E7E" w:rsidP="00F37E7E">
      <w:pPr>
        <w:pStyle w:val="Listeavsnitt"/>
        <w:numPr>
          <w:ilvl w:val="0"/>
          <w:numId w:val="5"/>
        </w:numPr>
      </w:pPr>
      <w:r>
        <w:t>Prosjektstatus oversikt</w:t>
      </w:r>
    </w:p>
    <w:p w:rsidR="00F37E7E" w:rsidRDefault="00F37E7E" w:rsidP="00F37E7E"/>
    <w:p w:rsidR="00F37E7E" w:rsidRDefault="00F37E7E" w:rsidP="00F37E7E"/>
    <w:p w:rsidR="00F37E7E" w:rsidRPr="00F37E7E" w:rsidRDefault="00F37E7E">
      <w:pPr>
        <w:rPr>
          <w:sz w:val="32"/>
          <w:szCs w:val="32"/>
        </w:rPr>
      </w:pPr>
    </w:p>
    <w:p w:rsidR="00720FD8" w:rsidRDefault="00720FD8">
      <w:pPr>
        <w:rPr>
          <w:b/>
          <w:sz w:val="28"/>
          <w:szCs w:val="28"/>
          <w:u w:val="single"/>
        </w:rPr>
      </w:pPr>
    </w:p>
    <w:p w:rsidR="00BB77C2" w:rsidRDefault="00BB77C2">
      <w:pPr>
        <w:rPr>
          <w:b/>
          <w:sz w:val="28"/>
          <w:szCs w:val="28"/>
          <w:u w:val="single"/>
        </w:rPr>
      </w:pPr>
    </w:p>
    <w:p w:rsidR="00720FD8" w:rsidRDefault="00720FD8" w:rsidP="00B30221"/>
    <w:p w:rsidR="009435FB" w:rsidRPr="006908BF" w:rsidRDefault="009435FB" w:rsidP="005A4DBB">
      <w:pPr>
        <w:rPr>
          <w:rFonts w:ascii="Times New Roman" w:hAnsi="Times New Roman" w:cs="Times New Roman"/>
          <w:sz w:val="28"/>
          <w:szCs w:val="28"/>
        </w:rPr>
      </w:pPr>
    </w:p>
    <w:p w:rsidR="00156569" w:rsidRDefault="00156569" w:rsidP="005A4DBB"/>
    <w:p w:rsidR="00097712" w:rsidRDefault="00097712" w:rsidP="005A4DBB"/>
    <w:sectPr w:rsidR="0009771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47" w:rsidRDefault="000B3B47" w:rsidP="00B30221">
      <w:pPr>
        <w:spacing w:after="0" w:line="240" w:lineRule="auto"/>
      </w:pPr>
      <w:r>
        <w:separator/>
      </w:r>
    </w:p>
  </w:endnote>
  <w:endnote w:type="continuationSeparator" w:id="0">
    <w:p w:rsidR="000B3B47" w:rsidRDefault="000B3B47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47" w:rsidRDefault="000B3B47" w:rsidP="00B30221">
      <w:pPr>
        <w:spacing w:after="0" w:line="240" w:lineRule="auto"/>
      </w:pPr>
      <w:r>
        <w:separator/>
      </w:r>
    </w:p>
  </w:footnote>
  <w:footnote w:type="continuationSeparator" w:id="0">
    <w:p w:rsidR="000B3B47" w:rsidRDefault="000B3B47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1A84"/>
    <w:multiLevelType w:val="hybridMultilevel"/>
    <w:tmpl w:val="C3AAC5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C591A"/>
    <w:multiLevelType w:val="hybridMultilevel"/>
    <w:tmpl w:val="F6606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C6154"/>
    <w:multiLevelType w:val="hybridMultilevel"/>
    <w:tmpl w:val="6EDEBA1C"/>
    <w:lvl w:ilvl="0" w:tplc="F0BC094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873EF"/>
    <w:multiLevelType w:val="hybridMultilevel"/>
    <w:tmpl w:val="6612565E"/>
    <w:lvl w:ilvl="0" w:tplc="B2DE8A1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013E1"/>
    <w:multiLevelType w:val="hybridMultilevel"/>
    <w:tmpl w:val="500653BE"/>
    <w:lvl w:ilvl="0" w:tplc="57B427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23045"/>
    <w:rsid w:val="0002344D"/>
    <w:rsid w:val="000506B0"/>
    <w:rsid w:val="00075EBA"/>
    <w:rsid w:val="00080EE4"/>
    <w:rsid w:val="000835D0"/>
    <w:rsid w:val="00097712"/>
    <w:rsid w:val="000A1FF7"/>
    <w:rsid w:val="000B30FA"/>
    <w:rsid w:val="000B3B47"/>
    <w:rsid w:val="001269B0"/>
    <w:rsid w:val="00135883"/>
    <w:rsid w:val="00156569"/>
    <w:rsid w:val="00164A4B"/>
    <w:rsid w:val="0016567D"/>
    <w:rsid w:val="00181371"/>
    <w:rsid w:val="00190A2F"/>
    <w:rsid w:val="00206A8B"/>
    <w:rsid w:val="002325CA"/>
    <w:rsid w:val="0024585F"/>
    <w:rsid w:val="00263933"/>
    <w:rsid w:val="00273EF0"/>
    <w:rsid w:val="00283947"/>
    <w:rsid w:val="002938FF"/>
    <w:rsid w:val="002A2EB5"/>
    <w:rsid w:val="002E51A2"/>
    <w:rsid w:val="00337964"/>
    <w:rsid w:val="003B2054"/>
    <w:rsid w:val="003B2BAC"/>
    <w:rsid w:val="003C050B"/>
    <w:rsid w:val="003E1121"/>
    <w:rsid w:val="00433FA9"/>
    <w:rsid w:val="00481E1B"/>
    <w:rsid w:val="004C093A"/>
    <w:rsid w:val="004E0F9A"/>
    <w:rsid w:val="005A4DBB"/>
    <w:rsid w:val="005C7426"/>
    <w:rsid w:val="00654C65"/>
    <w:rsid w:val="0068300B"/>
    <w:rsid w:val="006842E6"/>
    <w:rsid w:val="0068522C"/>
    <w:rsid w:val="006908BF"/>
    <w:rsid w:val="006A1463"/>
    <w:rsid w:val="006C27A3"/>
    <w:rsid w:val="006C3139"/>
    <w:rsid w:val="006D0D33"/>
    <w:rsid w:val="006F078A"/>
    <w:rsid w:val="006F671A"/>
    <w:rsid w:val="006F7691"/>
    <w:rsid w:val="00704A36"/>
    <w:rsid w:val="00715145"/>
    <w:rsid w:val="00720FD8"/>
    <w:rsid w:val="00724239"/>
    <w:rsid w:val="00727BEA"/>
    <w:rsid w:val="00740CC7"/>
    <w:rsid w:val="00744A17"/>
    <w:rsid w:val="00781B98"/>
    <w:rsid w:val="00793252"/>
    <w:rsid w:val="007A4E37"/>
    <w:rsid w:val="007B459C"/>
    <w:rsid w:val="007E13DA"/>
    <w:rsid w:val="007E2845"/>
    <w:rsid w:val="00831FB7"/>
    <w:rsid w:val="00832BA1"/>
    <w:rsid w:val="00847DA3"/>
    <w:rsid w:val="008668CB"/>
    <w:rsid w:val="00886B14"/>
    <w:rsid w:val="008956F4"/>
    <w:rsid w:val="008C1A3D"/>
    <w:rsid w:val="008C1ECA"/>
    <w:rsid w:val="009043C9"/>
    <w:rsid w:val="00910056"/>
    <w:rsid w:val="00924FA1"/>
    <w:rsid w:val="009435FB"/>
    <w:rsid w:val="00943A83"/>
    <w:rsid w:val="009873D1"/>
    <w:rsid w:val="009C47CF"/>
    <w:rsid w:val="009D5346"/>
    <w:rsid w:val="00A03738"/>
    <w:rsid w:val="00A127BD"/>
    <w:rsid w:val="00A17277"/>
    <w:rsid w:val="00A239BD"/>
    <w:rsid w:val="00A7255B"/>
    <w:rsid w:val="00A758D0"/>
    <w:rsid w:val="00A93512"/>
    <w:rsid w:val="00AA60A7"/>
    <w:rsid w:val="00AA74BE"/>
    <w:rsid w:val="00AA7F48"/>
    <w:rsid w:val="00AD3D7A"/>
    <w:rsid w:val="00B107B7"/>
    <w:rsid w:val="00B30221"/>
    <w:rsid w:val="00B52A16"/>
    <w:rsid w:val="00B67FF5"/>
    <w:rsid w:val="00B7093C"/>
    <w:rsid w:val="00B720F8"/>
    <w:rsid w:val="00B7732D"/>
    <w:rsid w:val="00B872CD"/>
    <w:rsid w:val="00BB1A4C"/>
    <w:rsid w:val="00BB77C2"/>
    <w:rsid w:val="00BC664E"/>
    <w:rsid w:val="00BF33E1"/>
    <w:rsid w:val="00BF6FCC"/>
    <w:rsid w:val="00C15BE2"/>
    <w:rsid w:val="00C2447B"/>
    <w:rsid w:val="00C25E48"/>
    <w:rsid w:val="00C27D11"/>
    <w:rsid w:val="00C3440E"/>
    <w:rsid w:val="00C470A3"/>
    <w:rsid w:val="00C66B87"/>
    <w:rsid w:val="00CC2FE5"/>
    <w:rsid w:val="00CC5B49"/>
    <w:rsid w:val="00CE5A07"/>
    <w:rsid w:val="00CF4C50"/>
    <w:rsid w:val="00D123CD"/>
    <w:rsid w:val="00D37546"/>
    <w:rsid w:val="00DB71E8"/>
    <w:rsid w:val="00DE58E6"/>
    <w:rsid w:val="00E1592B"/>
    <w:rsid w:val="00E305B1"/>
    <w:rsid w:val="00E33983"/>
    <w:rsid w:val="00E35F1D"/>
    <w:rsid w:val="00E51D94"/>
    <w:rsid w:val="00E62959"/>
    <w:rsid w:val="00E8147B"/>
    <w:rsid w:val="00E81729"/>
    <w:rsid w:val="00E83F17"/>
    <w:rsid w:val="00E91A65"/>
    <w:rsid w:val="00F06277"/>
    <w:rsid w:val="00F13D8C"/>
    <w:rsid w:val="00F37E7E"/>
    <w:rsid w:val="00F52164"/>
    <w:rsid w:val="00F5648A"/>
    <w:rsid w:val="00F65156"/>
    <w:rsid w:val="00FA4534"/>
    <w:rsid w:val="00FB7789"/>
    <w:rsid w:val="00FD3A02"/>
    <w:rsid w:val="00FE0E9D"/>
    <w:rsid w:val="00FE6342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2A766-105A-4A7D-A4E2-650910B9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Rentekst">
    <w:name w:val="Plain Text"/>
    <w:basedOn w:val="Normal"/>
    <w:link w:val="RentekstTegn"/>
    <w:uiPriority w:val="99"/>
    <w:semiHidden/>
    <w:unhideWhenUsed/>
    <w:rsid w:val="0028394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83947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D504-B080-46FE-9353-F93D6576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3114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2</cp:revision>
  <cp:lastPrinted>2015-02-24T12:45:00Z</cp:lastPrinted>
  <dcterms:created xsi:type="dcterms:W3CDTF">2015-08-14T08:45:00Z</dcterms:created>
  <dcterms:modified xsi:type="dcterms:W3CDTF">2015-08-14T08:45:00Z</dcterms:modified>
</cp:coreProperties>
</file>